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FF9BB" w14:textId="77777777" w:rsidR="00517145" w:rsidRDefault="003A1C3C">
      <w:pPr>
        <w:spacing w:after="120"/>
      </w:pPr>
      <w:r>
        <w:rPr>
          <w:b/>
          <w:bCs/>
          <w:color w:val="1F4E5F"/>
          <w:sz w:val="30"/>
          <w:szCs w:val="30"/>
        </w:rPr>
        <w:t>Texas Nutrition Advisory Committee</w:t>
      </w:r>
    </w:p>
    <w:p w14:paraId="228C4976" w14:textId="77777777" w:rsidR="00517145" w:rsidRDefault="003A1C3C">
      <w:pPr>
        <w:spacing w:after="80"/>
      </w:pPr>
      <w:r>
        <w:rPr>
          <w:b/>
          <w:bCs/>
          <w:sz w:val="24"/>
          <w:szCs w:val="24"/>
        </w:rPr>
        <w:t>Summary of Relevant Literature Table</w:t>
      </w:r>
    </w:p>
    <w:p w14:paraId="7AEAF520" w14:textId="77777777" w:rsidR="00517145" w:rsidRDefault="003A1C3C">
      <w:pPr>
        <w:spacing w:after="160"/>
      </w:pPr>
      <w:r>
        <w:rPr>
          <w:b/>
          <w:bCs/>
          <w:sz w:val="22"/>
          <w:szCs w:val="22"/>
        </w:rPr>
        <w:t xml:space="preserve">Topic: </w:t>
      </w:r>
      <w:r>
        <w:rPr>
          <w:sz w:val="22"/>
          <w:szCs w:val="22"/>
        </w:rPr>
        <w:t>Brain Health (dementia, Parkinson’s disease, cognitive function)</w:t>
      </w:r>
    </w:p>
    <w:p w14:paraId="22CAD4D9" w14:textId="77777777" w:rsidR="00517145" w:rsidRDefault="003A1C3C">
      <w:pPr>
        <w:spacing w:after="120"/>
      </w:pPr>
      <w:r>
        <w:rPr>
          <w:b/>
          <w:bCs/>
          <w:sz w:val="19"/>
          <w:szCs w:val="19"/>
        </w:rPr>
        <w:t xml:space="preserve">Contributors: </w:t>
      </w:r>
      <w:r>
        <w:rPr>
          <w:sz w:val="19"/>
          <w:szCs w:val="19"/>
        </w:rPr>
        <w:t>Maha Almohamad, Sydney Pryor, Vinuthna Mallampaty, Daphene Altema-Johnson, Munachi Okpala</w:t>
      </w:r>
    </w:p>
    <w:p w14:paraId="5A544500" w14:textId="77777777" w:rsidR="00517145" w:rsidRDefault="003A1C3C" w:rsidP="00932466">
      <w:pPr>
        <w:spacing w:after="120"/>
      </w:pPr>
      <w:r>
        <w:rPr>
          <w:sz w:val="19"/>
          <w:szCs w:val="19"/>
        </w:rPr>
        <w:t xml:space="preserve">The DSHS librarian search returned 8 studies on UPF and brain health and 6 on dietary quality or minimally/unprocessed foods and brain health. Three further studies that fit the criteria but were not in that search are marked † and shaded: Li et al. (2022), a UK Biobank dementia cohort with a substitution analysis; Barnes et al. (2023), the MIND diet trial; and Clark et al. (2025), a MIND-style polyphenol snack trial identified through a parallel Food Is Medicine scoping review. This brings the totals to 9 </w:t>
      </w:r>
      <w:r>
        <w:rPr>
          <w:sz w:val="19"/>
          <w:szCs w:val="19"/>
        </w:rPr>
        <w:t>UPF studies and 8 dietary quality studies.</w:t>
      </w:r>
    </w:p>
    <w:tbl>
      <w:tblPr>
        <w:tblW w:w="12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2400"/>
        <w:gridCol w:w="3640"/>
        <w:gridCol w:w="2240"/>
      </w:tblGrid>
      <w:tr w:rsidR="00517145" w14:paraId="6F11E7F8" w14:textId="77777777">
        <w:trPr>
          <w:tblHeader/>
        </w:trPr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5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E7E55E" w14:textId="77777777" w:rsidR="00517145" w:rsidRDefault="003A1C3C">
            <w:r>
              <w:rPr>
                <w:b/>
                <w:bCs/>
                <w:color w:val="FFFFFF"/>
                <w:sz w:val="19"/>
                <w:szCs w:val="19"/>
              </w:rPr>
              <w:t>Author, Year,</w:t>
            </w:r>
            <w:r>
              <w:rPr>
                <w:b/>
                <w:bCs/>
                <w:color w:val="FFFFFF"/>
                <w:sz w:val="19"/>
                <w:szCs w:val="19"/>
              </w:rPr>
              <w:br/>
              <w:t>Design, Quality*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5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573537" w14:textId="77777777" w:rsidR="00517145" w:rsidRDefault="003A1C3C">
            <w:r>
              <w:rPr>
                <w:b/>
                <w:bCs/>
                <w:color w:val="FFFFFF"/>
                <w:sz w:val="19"/>
                <w:szCs w:val="19"/>
              </w:rPr>
              <w:t>Purpose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5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A178BD" w14:textId="77777777" w:rsidR="00517145" w:rsidRDefault="003A1C3C">
            <w:r>
              <w:rPr>
                <w:b/>
                <w:bCs/>
                <w:color w:val="FFFFFF"/>
                <w:sz w:val="19"/>
                <w:szCs w:val="19"/>
              </w:rPr>
              <w:t>Population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5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A1CAF1" w14:textId="77777777" w:rsidR="00517145" w:rsidRDefault="003A1C3C">
            <w:r>
              <w:rPr>
                <w:b/>
                <w:bCs/>
                <w:color w:val="FFFFFF"/>
                <w:sz w:val="19"/>
                <w:szCs w:val="19"/>
              </w:rPr>
              <w:t>Findings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4E5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F3690D" w14:textId="77777777" w:rsidR="00517145" w:rsidRDefault="003A1C3C">
            <w:r>
              <w:rPr>
                <w:b/>
                <w:bCs/>
                <w:color w:val="FFFFFF"/>
                <w:sz w:val="19"/>
                <w:szCs w:val="19"/>
              </w:rPr>
              <w:t>Limitations</w:t>
            </w:r>
          </w:p>
        </w:tc>
      </w:tr>
      <w:tr w:rsidR="00517145" w14:paraId="317D9515" w14:textId="77777777">
        <w:tc>
          <w:tcPr>
            <w:tcW w:w="12960" w:type="dxa"/>
            <w:gridSpan w:val="5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4E3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FD038A" w14:textId="77777777" w:rsidR="00517145" w:rsidRDefault="003A1C3C">
            <w:r>
              <w:rPr>
                <w:b/>
                <w:bCs/>
                <w:color w:val="1F4E5F"/>
              </w:rPr>
              <w:t>A. Ultra-Processed Foods (NOVA Group 4) and Brain Health</w:t>
            </w:r>
          </w:p>
        </w:tc>
      </w:tr>
      <w:tr w:rsidR="00517145" w14:paraId="789734DF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CD1933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Bhave et al., 2024</w:t>
            </w:r>
          </w:p>
          <w:p w14:paraId="0C4C99D0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Neurology</w:t>
            </w:r>
          </w:p>
          <w:p w14:paraId="71B583B2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Prospective cohort, REGARDS</w:t>
            </w:r>
          </w:p>
          <w:p w14:paraId="5B8A3A46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Positive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EA7DF2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UPF intake and risk of cognitive impairment and stroke, tested against Mediterranean, DASH, and MIND adherence.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EEAA0C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US adults, REGARDS (2003–07). Cognitive cohort 14,175; stroke cohort 20,243. Black and White.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FE4EDF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Per 10% more UPF: cognitive impairment HR 1.16 (1.09–1.24); minimally/unprocessed foods HR 0.88 (0.83–0.94). Stroke: UPF HR 1.08 (1.02–1.14), minimally/unprocessed 0.91. UPF–stroke link stronger in Black adults (interaction HR 1.15). Held up independent of diet-pattern scores.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24A9E9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Observational. Single baseline FFQ, self-reported. Impairment defined against norms, not clinical diagnosis.</w:t>
            </w:r>
          </w:p>
        </w:tc>
      </w:tr>
      <w:tr w:rsidR="00517145" w14:paraId="109DB706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D43822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Chen et al., 2025</w:t>
            </w:r>
          </w:p>
          <w:p w14:paraId="777A6A8E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 xml:space="preserve">J Neurol </w:t>
            </w:r>
            <w:proofErr w:type="spellStart"/>
            <w:r>
              <w:rPr>
                <w:i/>
                <w:iCs/>
                <w:sz w:val="18"/>
                <w:szCs w:val="18"/>
              </w:rPr>
              <w:t>Neurosurg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Psychiatry</w:t>
            </w:r>
          </w:p>
          <w:p w14:paraId="2E56D39B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Prospective cohort, UK Biobank</w:t>
            </w:r>
          </w:p>
          <w:p w14:paraId="5400AB43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Positive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B70DE5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UPF intake and risk of prodromal and incident Parkinson’s disease (PD), plus PD death.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9CDAE3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121,440 UK adults, cancer/PD/dementia-free at baseline, ≥2 24-hr recalls. Median 10.5 y.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86285B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Top vs bottom UPF quartile: ≥3 prodromal features HR 1.65 (1.35–2.02); incident PD 1.32 (1.02–1.71); PD death 3.11 (1.56–6.17). All p-trend &lt;0.05.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C7087F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Observational. 24-hr recalls miss habitual intake. Prodromal features from records/self-report. UK Biobank skews healthy.</w:t>
            </w:r>
          </w:p>
        </w:tc>
      </w:tr>
      <w:tr w:rsidR="00517145" w14:paraId="26819260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830E37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Gomes Gonçalves et al., 2023</w:t>
            </w:r>
          </w:p>
          <w:p w14:paraId="77C50DD2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JAMA Neurology</w:t>
            </w:r>
          </w:p>
          <w:p w14:paraId="5DB03A2E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Prospective cohort, ELSA-</w:t>
            </w:r>
            <w:proofErr w:type="spellStart"/>
            <w:r>
              <w:rPr>
                <w:sz w:val="18"/>
                <w:szCs w:val="18"/>
              </w:rPr>
              <w:t>Brasil</w:t>
            </w:r>
            <w:proofErr w:type="spellEnd"/>
          </w:p>
          <w:p w14:paraId="4CB4F185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Positive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A249FD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UPF intake (% of energy) and rate of cognitive decline.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FD6478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10,775 Brazilian public servants, 35–74 y (mean 51.6; 54.6% women, 56.6% ≥college). Median 8 y.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044F92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Above the lowest quartile of UPF: 28% faster global decline and 25% faster executive-function decline vs the lowest quartile.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6D772B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Observational. Self-reported FFQ. Cohort young and highly educated. Short follow-up for cognition.</w:t>
            </w:r>
          </w:p>
        </w:tc>
      </w:tr>
      <w:tr w:rsidR="00517145" w14:paraId="440863D5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D93A20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Gu et al., 2025</w:t>
            </w:r>
          </w:p>
          <w:p w14:paraId="4F97C1E1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 xml:space="preserve">J </w:t>
            </w:r>
            <w:proofErr w:type="spellStart"/>
            <w:r>
              <w:rPr>
                <w:i/>
                <w:iCs/>
                <w:sz w:val="18"/>
                <w:szCs w:val="18"/>
              </w:rPr>
              <w:t>Nutr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Health Aging</w:t>
            </w:r>
          </w:p>
          <w:p w14:paraId="0BF5AFEE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Prospective cohort + MRI, UK Biobank</w:t>
            </w:r>
          </w:p>
          <w:p w14:paraId="6B6AF31B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lastRenderedPageBreak/>
              <w:t>Neutral–Positive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FD551D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lastRenderedPageBreak/>
              <w:t xml:space="preserve">UPF intake and neurodegenerative disease; brain gray-matter changes; </w:t>
            </w:r>
            <w:r>
              <w:rPr>
                <w:sz w:val="18"/>
                <w:szCs w:val="18"/>
              </w:rPr>
              <w:lastRenderedPageBreak/>
              <w:t>whether genetic risk modifies the link.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B6E838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lastRenderedPageBreak/>
              <w:t>58,423 UK Biobank adults, 40–70 y; MRI subsample 5,462. UPF as weight-based share of diet.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F7660A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 xml:space="preserve">High UPF: dementia HR 1.37 (1.08–1.74), PD 1.76 (1.22–2.53), MS 2.38 (1.02–5.55), stronger at low genetic risk. </w:t>
            </w:r>
            <w:proofErr w:type="gramStart"/>
            <w:r>
              <w:rPr>
                <w:sz w:val="18"/>
                <w:szCs w:val="18"/>
              </w:rPr>
              <w:t>Also</w:t>
            </w:r>
            <w:proofErr w:type="gramEnd"/>
            <w:r>
              <w:rPr>
                <w:sz w:val="18"/>
                <w:szCs w:val="18"/>
              </w:rPr>
              <w:t xml:space="preserve"> lower subcortical volume and broad cortical thinning.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126DBB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Observational. Web-based recall. MS estimate very imprecise. MRI analysis cross-</w:t>
            </w:r>
            <w:r>
              <w:rPr>
                <w:sz w:val="18"/>
                <w:szCs w:val="18"/>
              </w:rPr>
              <w:lastRenderedPageBreak/>
              <w:t>sectional. Healthy-volunteer bias.</w:t>
            </w:r>
          </w:p>
        </w:tc>
      </w:tr>
      <w:tr w:rsidR="00517145" w14:paraId="4806F4F1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EAA9C0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lastRenderedPageBreak/>
              <w:t>Henney et al., 2024</w:t>
            </w:r>
          </w:p>
          <w:p w14:paraId="157EF1EF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J Neurol</w:t>
            </w:r>
          </w:p>
          <w:p w14:paraId="421426BB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Systematic review &amp; meta-analysis</w:t>
            </w:r>
          </w:p>
          <w:p w14:paraId="1A1EA3A9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Positive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794810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Whether UPF intake raises dementia risk (PROSPERO-registered).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CE5418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10 observational studies (8 longitudinal), 867,316 adults. NOVA-defined UPF. Searched to Dec 2022.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7D0519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High vs low UPF: dementia RR 1.44 (1.09–1.90). Moderate vs low not significant (1.12, 0.96–1.31). Low publication bias.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394487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Heterogeneity very high (I²=97%). Observational inputs. Search now dated (2022).</w:t>
            </w:r>
          </w:p>
        </w:tc>
      </w:tr>
      <w:tr w:rsidR="00517145" w14:paraId="552B31C6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EF8BCE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Lehoczki et al., 2025</w:t>
            </w:r>
          </w:p>
          <w:p w14:paraId="79D337E6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Nutrients</w:t>
            </w:r>
          </w:p>
          <w:p w14:paraId="37145922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Narrative review</w:t>
            </w:r>
          </w:p>
          <w:p w14:paraId="22AC3A74" w14:textId="77777777" w:rsidR="00517145" w:rsidRDefault="003A1C3C">
            <w:pPr>
              <w:spacing w:line="230" w:lineRule="auto"/>
            </w:pPr>
            <w:r>
              <w:rPr>
                <w:b/>
                <w:bCs/>
                <w:sz w:val="18"/>
                <w:szCs w:val="18"/>
              </w:rPr>
              <w:t>See note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4B4A75" w14:textId="77777777" w:rsidR="00517145" w:rsidRDefault="003A1C3C">
            <w:pPr>
              <w:spacing w:line="230" w:lineRule="auto"/>
            </w:pPr>
            <w:proofErr w:type="gramStart"/>
            <w:r>
              <w:rPr>
                <w:sz w:val="18"/>
                <w:szCs w:val="18"/>
              </w:rPr>
              <w:t>How</w:t>
            </w:r>
            <w:proofErr w:type="gramEnd"/>
            <w:r>
              <w:rPr>
                <w:sz w:val="18"/>
                <w:szCs w:val="18"/>
              </w:rPr>
              <w:t xml:space="preserve"> Western diets (incl. UPFs) may drive cognitive and neurovascular aging; sets up the Semmelweis Study.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744DF0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Narrative synthesis, Hungarian/European framing. Semmelweis Study = planned cohort of university staff ≥25 y.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DEA516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Western diets tied to higher 4-HNE and neuronal injury; Mediterranean patterns support neurovascular health and BDNF/NGF. Frames “cognitive frailty” as modifiable.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701FF8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Narrative, not systematic: no search, appraisal, or pooling, and no UPF quantification.</w:t>
            </w:r>
          </w:p>
          <w:p w14:paraId="3B876B46" w14:textId="77777777" w:rsidR="00517145" w:rsidRDefault="003A1C3C">
            <w:pPr>
              <w:spacing w:line="230" w:lineRule="auto"/>
            </w:pPr>
            <w:r>
              <w:rPr>
                <w:b/>
                <w:bCs/>
                <w:sz w:val="18"/>
                <w:szCs w:val="18"/>
              </w:rPr>
              <w:t>Likely outside TNAC’s eligible designs.</w:t>
            </w:r>
          </w:p>
        </w:tc>
      </w:tr>
      <w:tr w:rsidR="00517145" w14:paraId="65BB7FDE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214E7F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Weinstein et al., 2025</w:t>
            </w:r>
          </w:p>
          <w:p w14:paraId="19CD489D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J Prev Alzheimers Dis</w:t>
            </w:r>
          </w:p>
          <w:p w14:paraId="736766DB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Prospective cohort, Framingham</w:t>
            </w:r>
          </w:p>
          <w:p w14:paraId="60E1C5C2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Positive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6C9A63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UPF intake and risk of all-cause dementia and Alzheimer’s disease (AD).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6BABEB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1,375 Framingham Offspring, ≥60 y, dementia/stroke-free (mean 68; 54% women). Mean 12.7 y; 224 dementia, 172 AD.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AF3C0C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Effect varied by age (split at 68). Under 68: each serving/day of UPF raised AD risk (HR 1.13, 1.03–1.25); ≥10 vs &lt;10 servings/day, HR 2.71 (1.18–6.24), adjusted for diet quality. Weaker for all-cause dementia; nothing significant at 68+.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9F84EE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Small sample. FFQ. Mostly White community cohort. Key results from age subgroups.</w:t>
            </w:r>
          </w:p>
        </w:tc>
      </w:tr>
      <w:tr w:rsidR="00517145" w14:paraId="59DC764A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254695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Zhang et al., 2025</w:t>
            </w:r>
          </w:p>
          <w:p w14:paraId="6211A149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Prev Med</w:t>
            </w:r>
          </w:p>
          <w:p w14:paraId="59656195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Prospective cohort, NYU WHS</w:t>
            </w:r>
          </w:p>
          <w:p w14:paraId="215D78D5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Neutral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F145D8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Midlife UPF intake and later-life subjective cognitive complaints (SCCs).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11275D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5,119 women, NYU Women’s Health Study (recruited 1985–91), followed up 2018/2020. NOVA-defined UPF.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2007F5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Top vs bottom UPF quintile: OR 1.24 (1.02–1.51) for ≥2 SCCs (p-trend 0.02). Stable across sensitivity analyses.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DE0E6E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Outcome is self-reported complaints, not measured cognition. Women only. One FFQ decades before outcome. Possible selection bias.</w:t>
            </w:r>
          </w:p>
        </w:tc>
      </w:tr>
      <w:tr w:rsidR="00517145" w14:paraId="3A3B72B4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B2D709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Li et al., 2022 †</w:t>
            </w:r>
          </w:p>
          <w:p w14:paraId="5CF07286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Neurology</w:t>
            </w:r>
          </w:p>
          <w:p w14:paraId="0F665B12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Prospective cohort, UK Biobank</w:t>
            </w:r>
          </w:p>
          <w:p w14:paraId="64C07397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Positive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1F4E95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UPF intake and incident dementia, plus a model swapping UPF for unprocessed/minimally processed foods.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168518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72,083 UK Biobank adults ≥55 y, dementia-free, ≥2 24-hr recalls. Median 10 y; 518 dementia (287 AD, 119 vascular).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FCB0D4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More UPF, more dementia. Swapping 10% of UPF for unprocessed/minimally processed foods: dementia HR 0.81 (0.74–0.89), vascular dementia 0.78 (0.65–0.94).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1876F4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Observational. 24-hr recalls. Healthy-volunteer bias. Substitution is modeled, not tested.</w:t>
            </w:r>
          </w:p>
          <w:p w14:paraId="2698427D" w14:textId="77777777" w:rsidR="00517145" w:rsidRDefault="003A1C3C">
            <w:pPr>
              <w:spacing w:line="230" w:lineRule="auto"/>
            </w:pPr>
            <w:r>
              <w:rPr>
                <w:b/>
                <w:bCs/>
                <w:sz w:val="18"/>
                <w:szCs w:val="18"/>
              </w:rPr>
              <w:t>Added; not in the search.</w:t>
            </w:r>
          </w:p>
        </w:tc>
      </w:tr>
      <w:tr w:rsidR="00517145" w14:paraId="094EADC9" w14:textId="77777777">
        <w:tc>
          <w:tcPr>
            <w:tcW w:w="12960" w:type="dxa"/>
            <w:gridSpan w:val="5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D4E3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AC2D33" w14:textId="77777777" w:rsidR="00517145" w:rsidRDefault="003A1C3C">
            <w:r>
              <w:rPr>
                <w:b/>
                <w:bCs/>
                <w:color w:val="1F4E5F"/>
              </w:rPr>
              <w:t>B. Dietary Quality / Minimally &amp; Unprocessed Foods and Brain Health</w:t>
            </w:r>
          </w:p>
        </w:tc>
      </w:tr>
      <w:tr w:rsidR="00517145" w14:paraId="04CF5201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6DAA99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Berendsen et al., 2017</w:t>
            </w:r>
          </w:p>
          <w:p w14:paraId="4C367A5C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 xml:space="preserve">Dement </w:t>
            </w:r>
            <w:proofErr w:type="spellStart"/>
            <w:r>
              <w:rPr>
                <w:i/>
                <w:iCs/>
                <w:sz w:val="18"/>
                <w:szCs w:val="18"/>
              </w:rPr>
              <w:t>Geriatr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Cogn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Disord</w:t>
            </w:r>
            <w:proofErr w:type="spellEnd"/>
          </w:p>
          <w:p w14:paraId="6100FFE6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Meta-analysis, CHANCES</w:t>
            </w:r>
          </w:p>
          <w:p w14:paraId="7E660AA5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Neutral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B351F4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Whether a healthy diet (Healthy Diet Indicator) slows cognitive decline.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5BDAC7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21,837 adults ≥55 y, pooled from SENECA, Rotterdam Study, and Nurses’ Health Study (Europe + US).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E4D5AA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Top vs bottom HDI quintile: annual decline ~0.00 in each cohort; pooled 0.00 (−0.01, 0.01), I²=0%. No link.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E5BEA4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HDI scores nutrients, not processing. Different cognitive tests across cohorts. Null result. Older data.</w:t>
            </w:r>
          </w:p>
        </w:tc>
      </w:tr>
      <w:tr w:rsidR="00517145" w14:paraId="13E1BBA2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899B39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lastRenderedPageBreak/>
              <w:t>Chen et al., 2023</w:t>
            </w:r>
          </w:p>
          <w:p w14:paraId="5A14AFA6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 xml:space="preserve">Clin </w:t>
            </w:r>
            <w:proofErr w:type="spellStart"/>
            <w:r>
              <w:rPr>
                <w:i/>
                <w:iCs/>
                <w:sz w:val="18"/>
                <w:szCs w:val="18"/>
              </w:rPr>
              <w:t>Nutr</w:t>
            </w:r>
            <w:proofErr w:type="spellEnd"/>
          </w:p>
          <w:p w14:paraId="66A35A41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Prospective cohort, 6 y (trajectories)</w:t>
            </w:r>
          </w:p>
          <w:p w14:paraId="23CA5F7C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Neutral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BDD2CB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Diet-quality trajectories over time and cognitive performance.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4C78CE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356 community-dwelling, non-demented Taiwanese older adults (mean 71.6 y). Diet at 0, 4, and 6 y.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C3667A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Three paths: deteriorating, improving, stable-high. Stable-high tracked with better cognition. “Improving” had lower memory than stable-high; deteriorating linked to weaker verbal fluency (faded after adjustment). Sex and BMI shifted some results.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3F490A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 xml:space="preserve">Small, single-region sample. Some findings inconsistent or counterintuitive. Many comparisons. </w:t>
            </w:r>
            <w:proofErr w:type="spellStart"/>
            <w:r>
              <w:rPr>
                <w:sz w:val="18"/>
                <w:szCs w:val="18"/>
              </w:rPr>
              <w:t>mAHEI</w:t>
            </w:r>
            <w:proofErr w:type="spellEnd"/>
            <w:r>
              <w:rPr>
                <w:sz w:val="18"/>
                <w:szCs w:val="18"/>
              </w:rPr>
              <w:t>, not a processing measure.</w:t>
            </w:r>
          </w:p>
        </w:tc>
      </w:tr>
      <w:tr w:rsidR="00517145" w14:paraId="383464D8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E7F5C4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Liu et al., 2020</w:t>
            </w:r>
          </w:p>
          <w:p w14:paraId="3ECC37B8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J Alzheimers Dis</w:t>
            </w:r>
          </w:p>
          <w:p w14:paraId="3B826DAD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Systematic review &amp; meta-analysis</w:t>
            </w:r>
          </w:p>
          <w:p w14:paraId="15B66BE7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Positive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563F88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Dietary patterns and risk of dementia.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D00A3E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16 studies reviewed, 12 pooled (66,930 adults). Prospective cohorts only.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25AB16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Healthy/high-quality diet vs low: dementia RR 0.82 (0.70–0.95); AD 0.61 (0.47–0.79). Consistent across subgroups.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215E88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Observational inputs. Dietary-pattern definitions vary. Authors call for RCTs.</w:t>
            </w:r>
          </w:p>
        </w:tc>
      </w:tr>
      <w:tr w:rsidR="00517145" w14:paraId="169A8F43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0D795A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Liu et al., 2021</w:t>
            </w:r>
          </w:p>
          <w:p w14:paraId="18F54518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J Parkinsons Dis</w:t>
            </w:r>
          </w:p>
          <w:p w14:paraId="14686391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Prospective cohort + meta-analysis</w:t>
            </w:r>
          </w:p>
          <w:p w14:paraId="03C06DD9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Neutral–Positive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42CBD7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Diet quality and risk of Parkinson’s disease (PD).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92BED1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Cohort: 3,653 older adults (mean 81.5 y), Geisinger Rural Aging Study. Meta-analysis: 140,617 across 5 studies.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AF04E1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Cohort: top vs bottom diet-quality tertile, PD HR 0.39 (0.17–0.89), 47 cases. Pooled: PD RR 0.64 (0.49–0.83).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5B2B57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Few PD cases in the cohort (wide CI). Cases from EHR codes. Observational. Screening tool, not a processing measure.</w:t>
            </w:r>
          </w:p>
        </w:tc>
      </w:tr>
      <w:tr w:rsidR="00517145" w14:paraId="6BF5173A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76AB1F" w14:textId="77777777" w:rsidR="00517145" w:rsidRDefault="003A1C3C">
            <w:pPr>
              <w:spacing w:after="60" w:line="230" w:lineRule="auto"/>
            </w:pPr>
            <w:proofErr w:type="spellStart"/>
            <w:r>
              <w:rPr>
                <w:b/>
                <w:bCs/>
                <w:sz w:val="18"/>
                <w:szCs w:val="18"/>
              </w:rPr>
              <w:t>Mossavar</w:t>
            </w:r>
            <w:proofErr w:type="spellEnd"/>
            <w:r>
              <w:rPr>
                <w:b/>
                <w:bCs/>
                <w:sz w:val="18"/>
                <w:szCs w:val="18"/>
              </w:rPr>
              <w:t>-Rahmani et al., 2025</w:t>
            </w:r>
          </w:p>
          <w:p w14:paraId="5D8F9D6D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 xml:space="preserve">Am J Clin </w:t>
            </w:r>
            <w:proofErr w:type="spellStart"/>
            <w:r>
              <w:rPr>
                <w:i/>
                <w:iCs/>
                <w:sz w:val="18"/>
                <w:szCs w:val="18"/>
              </w:rPr>
              <w:t>Nutr</w:t>
            </w:r>
            <w:proofErr w:type="spellEnd"/>
          </w:p>
          <w:p w14:paraId="69973E47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Pilot RCT (phase II)</w:t>
            </w:r>
          </w:p>
          <w:p w14:paraId="6A3D2845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Positive (prelim., pilot)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3ED048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Whether an anti-inflammatory Multicultural Healthy Diet (MHD) slows cognitive decline in middle age.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C9459A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290 adults, 40–65 y, Bronx, NY. MHD vs usual diet. 9-month follow-up.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8010EA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MHD arm lowered its inflammatory-diet score (adhered well), but no difference in global cognition vs usual diet (−0.06; −0.15, 0.04; P=.26). Feasible and acceptable.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15D766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Pilot, modest size. Only 9 months. Null primary outcome. Brief ambulatory cognitive tests.</w:t>
            </w:r>
          </w:p>
        </w:tc>
      </w:tr>
      <w:tr w:rsidR="00517145" w14:paraId="624BBA06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890E99" w14:textId="77777777" w:rsidR="00517145" w:rsidRDefault="003A1C3C">
            <w:pPr>
              <w:spacing w:after="60" w:line="230" w:lineRule="auto"/>
            </w:pPr>
            <w:proofErr w:type="spellStart"/>
            <w:r>
              <w:rPr>
                <w:b/>
                <w:bCs/>
                <w:sz w:val="18"/>
                <w:szCs w:val="18"/>
              </w:rPr>
              <w:t>Zülke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et al., 2024</w:t>
            </w:r>
          </w:p>
          <w:p w14:paraId="0901C73F" w14:textId="77777777" w:rsidR="00517145" w:rsidRDefault="003A1C3C">
            <w:pPr>
              <w:spacing w:after="60" w:line="230" w:lineRule="auto"/>
            </w:pPr>
            <w:proofErr w:type="spellStart"/>
            <w:r>
              <w:rPr>
                <w:i/>
                <w:iCs/>
                <w:sz w:val="18"/>
                <w:szCs w:val="18"/>
              </w:rPr>
              <w:t>Eur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J </w:t>
            </w:r>
            <w:proofErr w:type="spellStart"/>
            <w:r>
              <w:rPr>
                <w:i/>
                <w:iCs/>
                <w:sz w:val="18"/>
                <w:szCs w:val="18"/>
              </w:rPr>
              <w:t>Nutr</w:t>
            </w:r>
            <w:proofErr w:type="spellEnd"/>
          </w:p>
          <w:p w14:paraId="24457030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Cluster RCT, secondary analysis (AgeWell.de)</w:t>
            </w:r>
          </w:p>
          <w:p w14:paraId="16EDB30A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Neutral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FA32B1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Whether a multidomain lifestyle program improved diet in older adults at dementia risk.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7782A6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819 at-risk older adults (mean 69 y); intervention 378, control 441.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DBE5AF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Healthy-diet score improved (IRR 1.06, 1.01–1.11), almost entirely from more fruit and vegetables. No move to advanced behavior-change stages.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073A12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Outcome is diet change, not cognition. Diet effect can’t be separated from the wider program. Change was small.</w:t>
            </w:r>
          </w:p>
        </w:tc>
      </w:tr>
      <w:tr w:rsidR="00517145" w14:paraId="5D397641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2C7131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t>Barnes et al., 2023 †</w:t>
            </w:r>
          </w:p>
          <w:p w14:paraId="59FF25B0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N Engl J Med</w:t>
            </w:r>
          </w:p>
          <w:p w14:paraId="2C55B651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RCT (phase III), MIND diet</w:t>
            </w:r>
          </w:p>
          <w:p w14:paraId="6F40120C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Positive (prelim.)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014149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Whether 3 years on the MIND diet slows cognitive decline vs a control diet (both with mild calorie restriction).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3248CA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604 adults, 65–84 y, overweight, suboptimal diet, family history of dementia, no impairment. MIND 301, control 303. Mostly White, well-educated.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1F3ADC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No difference between groups in cognition or MRI at 3 years. Both arms improved a little and lost ~5 kg.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21DCB7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Control diet was fairly healthy and both groups lost weight, narrowing the contrast. Limited diversity. 3 years may be short for dementia.</w:t>
            </w:r>
          </w:p>
          <w:p w14:paraId="761D4DAA" w14:textId="77777777" w:rsidR="00517145" w:rsidRDefault="003A1C3C">
            <w:pPr>
              <w:spacing w:line="230" w:lineRule="auto"/>
            </w:pPr>
            <w:r>
              <w:rPr>
                <w:b/>
                <w:bCs/>
                <w:sz w:val="18"/>
                <w:szCs w:val="18"/>
              </w:rPr>
              <w:t>Added; not in the search. Strongest design here.</w:t>
            </w:r>
          </w:p>
        </w:tc>
      </w:tr>
      <w:tr w:rsidR="00517145" w14:paraId="26EEB4A0" w14:textId="77777777">
        <w:tc>
          <w:tcPr>
            <w:tcW w:w="25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7A936E" w14:textId="77777777" w:rsidR="00517145" w:rsidRDefault="003A1C3C">
            <w:pPr>
              <w:spacing w:after="60" w:line="230" w:lineRule="auto"/>
            </w:pPr>
            <w:r>
              <w:rPr>
                <w:b/>
                <w:bCs/>
                <w:sz w:val="18"/>
                <w:szCs w:val="18"/>
              </w:rPr>
              <w:lastRenderedPageBreak/>
              <w:t>Clark et al., 2025 †</w:t>
            </w:r>
          </w:p>
          <w:p w14:paraId="79768114" w14:textId="77777777" w:rsidR="00517145" w:rsidRDefault="003A1C3C">
            <w:pPr>
              <w:spacing w:after="60" w:line="230" w:lineRule="auto"/>
            </w:pPr>
            <w:r>
              <w:rPr>
                <w:i/>
                <w:iCs/>
                <w:sz w:val="18"/>
                <w:szCs w:val="18"/>
              </w:rPr>
              <w:t>Alzheimer’s &amp; Dementia</w:t>
            </w:r>
          </w:p>
          <w:p w14:paraId="5242DD38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Stage 1b RCT, 2×2 (</w:t>
            </w:r>
            <w:proofErr w:type="spellStart"/>
            <w:r>
              <w:rPr>
                <w:sz w:val="18"/>
                <w:szCs w:val="18"/>
              </w:rPr>
              <w:t>MINDSpeed</w:t>
            </w:r>
            <w:proofErr w:type="spellEnd"/>
            <w:r>
              <w:rPr>
                <w:sz w:val="18"/>
                <w:szCs w:val="18"/>
              </w:rPr>
              <w:t>)</w:t>
            </w:r>
          </w:p>
          <w:p w14:paraId="6A2D8395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Positive (prelim., feasibility)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1DEDF3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Feasibility and preliminary cognitive effect of home-delivered MIND-style polyphenol snacks (nuts, berries) and online cognitive training in older adults with low education.</w:t>
            </w:r>
          </w:p>
        </w:tc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3E8906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180 US adults ≥60 y with 12 or fewer years of education, mostly Black, recruited from an Indianapolis safety-net system. Four arms (snacks and/or training vs double control). 3-month intervention, 6-month follow-up.</w:t>
            </w:r>
          </w:p>
        </w:tc>
        <w:tc>
          <w:tcPr>
            <w:tcW w:w="36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1B8DDB" w14:textId="77777777" w:rsidR="00517145" w:rsidRDefault="003A1C3C">
            <w:pPr>
              <w:spacing w:line="230" w:lineRule="auto"/>
            </w:pPr>
            <w:r>
              <w:rPr>
                <w:sz w:val="18"/>
                <w:szCs w:val="18"/>
              </w:rPr>
              <w:t>Feasibility goals met. Cognition improved in all four arms, with no significant difference between arms at 3 or 6 months (</w:t>
            </w:r>
            <w:proofErr w:type="spellStart"/>
            <w:r>
              <w:rPr>
                <w:sz w:val="18"/>
                <w:szCs w:val="18"/>
              </w:rPr>
              <w:t>MINDSpeed</w:t>
            </w:r>
            <w:proofErr w:type="spellEnd"/>
            <w:r>
              <w:rPr>
                <w:sz w:val="18"/>
                <w:szCs w:val="18"/>
              </w:rPr>
              <w:t xml:space="preserve"> vs control 0.04, P=.67). Polyphenol snacks raised urinary polyphenols; a memory-domain gain in the polyphenol arms did not hold up in sensitivity analysis.</w:t>
            </w:r>
          </w:p>
        </w:tc>
        <w:tc>
          <w:tcPr>
            <w:tcW w:w="22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BF3E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1E133A" w14:textId="77777777" w:rsidR="00517145" w:rsidRDefault="003A1C3C">
            <w:pPr>
              <w:spacing w:after="60" w:line="230" w:lineRule="auto"/>
            </w:pPr>
            <w:r>
              <w:rPr>
                <w:sz w:val="18"/>
                <w:szCs w:val="18"/>
              </w:rPr>
              <w:t>Powered for feasibility, not efficacy. Small per-arm samples. Short 3-month intervention. Control games may not have been inert.</w:t>
            </w:r>
          </w:p>
          <w:p w14:paraId="44D47DE6" w14:textId="77777777" w:rsidR="00517145" w:rsidRDefault="003A1C3C">
            <w:pPr>
              <w:spacing w:line="230" w:lineRule="auto"/>
            </w:pPr>
            <w:r>
              <w:rPr>
                <w:b/>
                <w:bCs/>
                <w:sz w:val="18"/>
                <w:szCs w:val="18"/>
              </w:rPr>
              <w:t>Added; from the FIM scoping review.</w:t>
            </w:r>
          </w:p>
        </w:tc>
      </w:tr>
    </w:tbl>
    <w:p w14:paraId="2E943053" w14:textId="77777777" w:rsidR="00517145" w:rsidRDefault="003A1C3C">
      <w:pPr>
        <w:spacing w:before="200" w:after="40"/>
      </w:pPr>
      <w:r>
        <w:rPr>
          <w:color w:val="555555"/>
          <w:sz w:val="18"/>
          <w:szCs w:val="18"/>
        </w:rPr>
        <w:t>† Added; not returned by the librarian search (shaded rows).</w:t>
      </w:r>
    </w:p>
    <w:p w14:paraId="060E9D99" w14:textId="77777777" w:rsidR="00517145" w:rsidRDefault="003A1C3C">
      <w:pPr>
        <w:spacing w:after="40"/>
      </w:pPr>
      <w:r>
        <w:rPr>
          <w:color w:val="555555"/>
          <w:sz w:val="18"/>
          <w:szCs w:val="18"/>
        </w:rPr>
        <w:t>Lehoczki et al. (2025) is a narrative review and does not quantify UPF, so it likely falls outside the eligible designs (RCTs, systematic reviews, meta-analyses, umbrella reviews, and recent cohorts not already captured). Keep or drop per committee judgment.</w:t>
      </w:r>
    </w:p>
    <w:p w14:paraId="79C0A7F5" w14:textId="77777777" w:rsidR="00517145" w:rsidRDefault="003A1C3C">
      <w:r>
        <w:rPr>
          <w:color w:val="555555"/>
          <w:sz w:val="17"/>
          <w:szCs w:val="17"/>
        </w:rPr>
        <w:t xml:space="preserve">AD, Alzheimer’s disease; CI, confidence interval; DASH, Dietary Approaches to Stop Hypertension; FFQ, food frequency questionnaire; HDI, Healthy Diet Indicator; HR, hazard ratio; IRR, incidence rate ratio; </w:t>
      </w:r>
      <w:proofErr w:type="spellStart"/>
      <w:r>
        <w:rPr>
          <w:color w:val="555555"/>
          <w:sz w:val="17"/>
          <w:szCs w:val="17"/>
        </w:rPr>
        <w:t>mAHEI</w:t>
      </w:r>
      <w:proofErr w:type="spellEnd"/>
      <w:r>
        <w:rPr>
          <w:color w:val="555555"/>
          <w:sz w:val="17"/>
          <w:szCs w:val="17"/>
        </w:rPr>
        <w:t>, modified Alternative Healthy Eating Index; MIND, Mediterranean-DASH Intervention for Neurodegenerative Delay; MS, multiple sclerosis; OR, odds ratio; PD, Parkinson’s disease; RR, risk ratio; SCC, subjective cognitive complaint; UPF, ultra-processed food.</w:t>
      </w:r>
    </w:p>
    <w:sectPr w:rsidR="00517145">
      <w:pgSz w:w="15840" w:h="12240" w:orient="landscape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60C0"/>
    <w:multiLevelType w:val="hybridMultilevel"/>
    <w:tmpl w:val="D4820458"/>
    <w:lvl w:ilvl="0" w:tplc="0F9E9EBC">
      <w:start w:val="1"/>
      <w:numFmt w:val="bullet"/>
      <w:lvlText w:val="●"/>
      <w:lvlJc w:val="left"/>
      <w:pPr>
        <w:ind w:left="720" w:hanging="360"/>
      </w:pPr>
    </w:lvl>
    <w:lvl w:ilvl="1" w:tplc="0CC086D4">
      <w:start w:val="1"/>
      <w:numFmt w:val="bullet"/>
      <w:lvlText w:val="○"/>
      <w:lvlJc w:val="left"/>
      <w:pPr>
        <w:ind w:left="1440" w:hanging="360"/>
      </w:pPr>
    </w:lvl>
    <w:lvl w:ilvl="2" w:tplc="DFDA4B9C">
      <w:start w:val="1"/>
      <w:numFmt w:val="bullet"/>
      <w:lvlText w:val="■"/>
      <w:lvlJc w:val="left"/>
      <w:pPr>
        <w:ind w:left="2160" w:hanging="360"/>
      </w:pPr>
    </w:lvl>
    <w:lvl w:ilvl="3" w:tplc="F97CA96E">
      <w:start w:val="1"/>
      <w:numFmt w:val="bullet"/>
      <w:lvlText w:val="●"/>
      <w:lvlJc w:val="left"/>
      <w:pPr>
        <w:ind w:left="2880" w:hanging="360"/>
      </w:pPr>
    </w:lvl>
    <w:lvl w:ilvl="4" w:tplc="617685CC">
      <w:start w:val="1"/>
      <w:numFmt w:val="bullet"/>
      <w:lvlText w:val="○"/>
      <w:lvlJc w:val="left"/>
      <w:pPr>
        <w:ind w:left="3600" w:hanging="360"/>
      </w:pPr>
    </w:lvl>
    <w:lvl w:ilvl="5" w:tplc="4FF62572">
      <w:start w:val="1"/>
      <w:numFmt w:val="bullet"/>
      <w:lvlText w:val="■"/>
      <w:lvlJc w:val="left"/>
      <w:pPr>
        <w:ind w:left="4320" w:hanging="360"/>
      </w:pPr>
    </w:lvl>
    <w:lvl w:ilvl="6" w:tplc="DF1E1A88">
      <w:start w:val="1"/>
      <w:numFmt w:val="bullet"/>
      <w:lvlText w:val="●"/>
      <w:lvlJc w:val="left"/>
      <w:pPr>
        <w:ind w:left="5040" w:hanging="360"/>
      </w:pPr>
    </w:lvl>
    <w:lvl w:ilvl="7" w:tplc="2D08F69C">
      <w:start w:val="1"/>
      <w:numFmt w:val="bullet"/>
      <w:lvlText w:val="●"/>
      <w:lvlJc w:val="left"/>
      <w:pPr>
        <w:ind w:left="5760" w:hanging="360"/>
      </w:pPr>
    </w:lvl>
    <w:lvl w:ilvl="8" w:tplc="6DE42AC8">
      <w:start w:val="1"/>
      <w:numFmt w:val="bullet"/>
      <w:lvlText w:val="●"/>
      <w:lvlJc w:val="left"/>
      <w:pPr>
        <w:ind w:left="6480" w:hanging="360"/>
      </w:pPr>
    </w:lvl>
  </w:abstractNum>
  <w:num w:numId="1" w16cid:durableId="209481741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145"/>
    <w:rsid w:val="002254AD"/>
    <w:rsid w:val="003A1C3C"/>
    <w:rsid w:val="00430C16"/>
    <w:rsid w:val="00517145"/>
    <w:rsid w:val="0093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35343"/>
  <w15:docId w15:val="{FDFCF06F-D338-1D41-99BD-E93253C5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B2FD9D0E60E4D9A540172FBC638A5" ma:contentTypeVersion="20" ma:contentTypeDescription="Create a new document." ma:contentTypeScope="" ma:versionID="673ef0d5390faac1c216dd066c1759b7">
  <xsd:schema xmlns:xsd="http://www.w3.org/2001/XMLSchema" xmlns:xs="http://www.w3.org/2001/XMLSchema" xmlns:p="http://schemas.microsoft.com/office/2006/metadata/properties" xmlns:ns2="5acf3f67-585c-462a-94f9-0e8032306a18" xmlns:ns3="160abd0e-414f-47c5-a2d7-eced7709f37f" xmlns:ns4="d853a810-d2a2-4c28-9ad9-9100c9a22e04" targetNamespace="http://schemas.microsoft.com/office/2006/metadata/properties" ma:root="true" ma:fieldsID="17b0aad9b176f0cab4043de4e58c2e02" ns2:_="" ns3:_="" ns4:_="">
    <xsd:import namespace="5acf3f67-585c-462a-94f9-0e8032306a18"/>
    <xsd:import namespace="160abd0e-414f-47c5-a2d7-eced7709f37f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Added_x003f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3f67-585c-462a-94f9-0e8032306a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Added_x003f_" ma:index="26" nillable="true" ma:displayName="Added?" ma:format="Dropdown" ma:internalName="Added_x003f_">
      <xsd:simpleType>
        <xsd:restriction base="dms:Choice">
          <xsd:enumeration value="Yes"/>
          <xsd:enumeration value="Choice 2"/>
          <xsd:enumeration value="Choice 3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abd0e-414f-47c5-a2d7-eced7709f3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7164e48-2eb0-4aa9-be91-6fb83a67d0dd}" ma:internalName="TaxCatchAll" ma:showField="CatchAllData" ma:web="160abd0e-414f-47c5-a2d7-eced7709f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5acf3f67-585c-462a-94f9-0e8032306a18">
      <Terms xmlns="http://schemas.microsoft.com/office/infopath/2007/PartnerControls"/>
    </lcf76f155ced4ddcb4097134ff3c332f>
    <SharedWithUsers xmlns="160abd0e-414f-47c5-a2d7-eced7709f37f">
      <UserInfo>
        <DisplayName/>
        <AccountId xsi:nil="true"/>
        <AccountType/>
      </UserInfo>
    </SharedWithUsers>
    <Added_x003f_ xmlns="5acf3f67-585c-462a-94f9-0e8032306a18" xsi:nil="true"/>
  </documentManagement>
</p:properties>
</file>

<file path=customXml/itemProps1.xml><?xml version="1.0" encoding="utf-8"?>
<ds:datastoreItem xmlns:ds="http://schemas.openxmlformats.org/officeDocument/2006/customXml" ds:itemID="{E580ECF5-8249-42E5-AEA5-AE59D090A2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1A5C6D-302C-4129-B95A-44BE0021E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f3f67-585c-462a-94f9-0e8032306a18"/>
    <ds:schemaRef ds:uri="160abd0e-414f-47c5-a2d7-eced7709f37f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800C38-48CA-4D0F-AB8F-5759D56E05BC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5acf3f67-585c-462a-94f9-0e8032306a18"/>
    <ds:schemaRef ds:uri="160abd0e-414f-47c5-a2d7-eced7709f3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1641</Words>
  <Characters>9687</Characters>
  <Application>Microsoft Office Word</Application>
  <DocSecurity>0</DocSecurity>
  <Lines>215</Lines>
  <Paragraphs>139</Paragraphs>
  <ScaleCrop>false</ScaleCrop>
  <Company/>
  <LinksUpToDate>false</LinksUpToDate>
  <CharactersWithSpaces>11189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Garcia,Ilza  (DSHS)</cp:lastModifiedBy>
  <cp:revision>2</cp:revision>
  <dcterms:created xsi:type="dcterms:W3CDTF">2026-09-02T13:14:00Z</dcterms:created>
  <dcterms:modified xsi:type="dcterms:W3CDTF">2026-09-02T13:14:00Z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0x0101002BCB2FD9D0E60E4D9A540172FBC638A5</vt:lpwstr>
  </property>
  <property fmtid="{D5CDD505-2E9C-101B-9397-08002B2CF9AE}" pid="3" name="_dlc_DocIdItemGuid">
    <vt:lpwstr>efe5fbf3-67ee-4233-a943-4fc39caa82ab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Order">
    <vt:r8>539900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